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6C0AA" w14:textId="77777777" w:rsidR="005F2743" w:rsidRDefault="005F2743" w:rsidP="005F2743">
      <w:pPr>
        <w:jc w:val="center"/>
        <w:rPr>
          <w:rFonts w:ascii="Century Gothic" w:hAnsi="Century Gothic"/>
          <w:b/>
          <w:bCs/>
          <w:color w:val="B3186D" w:themeColor="accent1" w:themeShade="BF"/>
        </w:rPr>
      </w:pPr>
      <w:r>
        <w:rPr>
          <w:rFonts w:ascii="Century Gothic" w:hAnsi="Century Gothic"/>
          <w:b/>
          <w:bCs/>
          <w:noProof/>
          <w:color w:val="E32D91" w:themeColor="accent1"/>
        </w:rPr>
        <mc:AlternateContent>
          <mc:Choice Requires="wps">
            <w:drawing>
              <wp:anchor distT="0" distB="0" distL="114300" distR="114300" simplePos="0" relativeHeight="251659264" behindDoc="0" locked="0" layoutInCell="1" allowOverlap="1" wp14:anchorId="382526DD" wp14:editId="15037897">
                <wp:simplePos x="0" y="0"/>
                <wp:positionH relativeFrom="margin">
                  <wp:align>center</wp:align>
                </wp:positionH>
                <wp:positionV relativeFrom="paragraph">
                  <wp:posOffset>247650</wp:posOffset>
                </wp:positionV>
                <wp:extent cx="6242050" cy="12700"/>
                <wp:effectExtent l="0" t="0" r="25400" b="25400"/>
                <wp:wrapNone/>
                <wp:docPr id="2094450345" name="Straight Connector 1"/>
                <wp:cNvGraphicFramePr/>
                <a:graphic xmlns:a="http://schemas.openxmlformats.org/drawingml/2006/main">
                  <a:graphicData uri="http://schemas.microsoft.com/office/word/2010/wordprocessingShape">
                    <wps:wsp>
                      <wps:cNvCnPr/>
                      <wps:spPr>
                        <a:xfrm>
                          <a:off x="0" y="0"/>
                          <a:ext cx="62420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28A09F"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9.5pt" to="49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" strokecolor="black [3200]" strokeweight=".5pt">
                <v:stroke joinstyle="miter"/>
                <w10:wrap anchorx="margin"/>
              </v:line>
            </w:pict>
          </mc:Fallback>
        </mc:AlternateContent>
      </w:r>
      <w:r>
        <w:rPr>
          <w:rFonts w:ascii="Century Gothic" w:hAnsi="Century Gothic"/>
          <w:b/>
          <w:bCs/>
          <w:color w:val="B3186D" w:themeColor="accent1" w:themeShade="BF"/>
        </w:rPr>
        <w:t>Anything that is written in pink bold to be deleted and filled in.</w:t>
      </w:r>
    </w:p>
    <w:p w14:paraId="308ABC07" w14:textId="0640B1EF" w:rsidR="005F2743" w:rsidRDefault="005F2743" w:rsidP="005F2743">
      <w:pPr>
        <w:jc w:val="right"/>
        <w:rPr>
          <w:rFonts w:ascii="Century Gothic" w:hAnsi="Century Gothic"/>
          <w:b/>
          <w:bCs/>
          <w:color w:val="B3186D" w:themeColor="accent1" w:themeShade="BF"/>
        </w:rPr>
      </w:pPr>
      <w:r>
        <w:rPr>
          <w:rFonts w:ascii="Century Gothic" w:hAnsi="Century Gothic"/>
          <w:b/>
          <w:bCs/>
          <w:color w:val="B3186D" w:themeColor="accent1" w:themeShade="BF"/>
        </w:rPr>
        <w:br/>
      </w:r>
      <w:r>
        <w:rPr>
          <w:rFonts w:ascii="Century Gothic" w:hAnsi="Century Gothic"/>
          <w:b/>
          <w:bCs/>
          <w:color w:val="B3186D" w:themeColor="accent1" w:themeShade="BF"/>
        </w:rPr>
        <w:br/>
      </w:r>
      <w:r w:rsidRPr="005F2743">
        <w:rPr>
          <w:rFonts w:ascii="Century Gothic" w:hAnsi="Century Gothic"/>
          <w:b/>
          <w:bCs/>
          <w:color w:val="B3186D" w:themeColor="accent1" w:themeShade="BF"/>
        </w:rPr>
        <w:t>Your address</w:t>
      </w:r>
    </w:p>
    <w:p w14:paraId="4891ED2B" w14:textId="77777777" w:rsidR="005F2743" w:rsidRDefault="005F2743" w:rsidP="005F2743">
      <w:pPr>
        <w:jc w:val="right"/>
        <w:rPr>
          <w:rFonts w:ascii="Century Gothic" w:hAnsi="Century Gothic"/>
          <w:b/>
          <w:bCs/>
          <w:color w:val="B3186D" w:themeColor="accent1" w:themeShade="BF"/>
        </w:rPr>
      </w:pPr>
    </w:p>
    <w:p w14:paraId="5678C3EE" w14:textId="16CD72C0" w:rsidR="005F2743" w:rsidRDefault="005F2743" w:rsidP="005F2743">
      <w:pPr>
        <w:rPr>
          <w:rFonts w:ascii="Century Gothic" w:hAnsi="Century Gothic"/>
          <w:b/>
          <w:bCs/>
          <w:color w:val="B3186D" w:themeColor="accent1" w:themeShade="BF"/>
        </w:rPr>
      </w:pPr>
      <w:r>
        <w:rPr>
          <w:rFonts w:ascii="Century Gothic" w:hAnsi="Century Gothic"/>
          <w:b/>
          <w:bCs/>
          <w:color w:val="B3186D" w:themeColor="accent1" w:themeShade="BF"/>
        </w:rPr>
        <w:t>Name of case worker</w:t>
      </w:r>
    </w:p>
    <w:p w14:paraId="2287E79B" w14:textId="7A043FBE" w:rsidR="005F2743" w:rsidRDefault="005F2743" w:rsidP="005F2743">
      <w:pPr>
        <w:rPr>
          <w:rFonts w:ascii="Century Gothic" w:hAnsi="Century Gothic"/>
          <w:b/>
          <w:bCs/>
          <w:color w:val="B3186D" w:themeColor="accent1" w:themeShade="BF"/>
        </w:rPr>
      </w:pPr>
      <w:r>
        <w:rPr>
          <w:rFonts w:ascii="Century Gothic" w:hAnsi="Century Gothic"/>
          <w:b/>
          <w:bCs/>
          <w:color w:val="B3186D" w:themeColor="accent1" w:themeShade="BF"/>
        </w:rPr>
        <w:t>LA Address</w:t>
      </w:r>
    </w:p>
    <w:p w14:paraId="107C5FB0" w14:textId="1068F345" w:rsidR="005F2743" w:rsidRDefault="005F2743" w:rsidP="005F2743">
      <w:pPr>
        <w:rPr>
          <w:rFonts w:ascii="Century Gothic" w:hAnsi="Century Gothic"/>
          <w:b/>
          <w:bCs/>
          <w:color w:val="B3186D" w:themeColor="accent1" w:themeShade="BF"/>
        </w:rPr>
      </w:pPr>
      <w:r>
        <w:rPr>
          <w:rFonts w:ascii="Century Gothic" w:hAnsi="Century Gothic"/>
          <w:b/>
          <w:bCs/>
          <w:color w:val="B3186D" w:themeColor="accent1" w:themeShade="BF"/>
        </w:rPr>
        <w:t>Caseworker Email address</w:t>
      </w:r>
    </w:p>
    <w:p w14:paraId="07BBDF54" w14:textId="5C0BF57B" w:rsidR="005F2743" w:rsidRDefault="005F2743" w:rsidP="005F2743">
      <w:pPr>
        <w:jc w:val="right"/>
        <w:rPr>
          <w:rFonts w:ascii="Century Gothic" w:hAnsi="Century Gothic"/>
          <w:b/>
          <w:bCs/>
          <w:color w:val="B3186D" w:themeColor="accent1" w:themeShade="BF"/>
        </w:rPr>
      </w:pPr>
      <w:r>
        <w:rPr>
          <w:rFonts w:ascii="Century Gothic" w:hAnsi="Century Gothic"/>
          <w:b/>
          <w:bCs/>
          <w:color w:val="B3186D" w:themeColor="accent1" w:themeShade="BF"/>
        </w:rPr>
        <w:t>Date</w:t>
      </w:r>
    </w:p>
    <w:p w14:paraId="01DC440A" w14:textId="72F11926" w:rsidR="005F2743" w:rsidRDefault="005F2743" w:rsidP="005F2743">
      <w:pPr>
        <w:rPr>
          <w:rFonts w:ascii="Century Gothic" w:hAnsi="Century Gothic"/>
          <w:b/>
          <w:bCs/>
          <w:color w:val="B3186D" w:themeColor="accent1" w:themeShade="BF"/>
        </w:rPr>
      </w:pPr>
      <w:r>
        <w:rPr>
          <w:rFonts w:ascii="Century Gothic" w:hAnsi="Century Gothic"/>
          <w:b/>
          <w:bCs/>
        </w:rPr>
        <w:t xml:space="preserve">Dear </w:t>
      </w:r>
      <w:r>
        <w:rPr>
          <w:rFonts w:ascii="Century Gothic" w:hAnsi="Century Gothic"/>
          <w:b/>
          <w:bCs/>
          <w:color w:val="B3186D" w:themeColor="accent1" w:themeShade="BF"/>
        </w:rPr>
        <w:t xml:space="preserve">Caseworker </w:t>
      </w:r>
    </w:p>
    <w:p w14:paraId="19F4ACDB" w14:textId="71EAEE45" w:rsidR="005F2743" w:rsidRDefault="005F2743" w:rsidP="005F2743">
      <w:pPr>
        <w:rPr>
          <w:rFonts w:ascii="Century Gothic" w:hAnsi="Century Gothic"/>
          <w:b/>
          <w:bCs/>
          <w:color w:val="B3186D" w:themeColor="accent1" w:themeShade="BF"/>
        </w:rPr>
      </w:pPr>
      <w:r>
        <w:rPr>
          <w:rFonts w:ascii="Century Gothic" w:hAnsi="Century Gothic"/>
          <w:b/>
          <w:bCs/>
          <w:color w:val="B3186D" w:themeColor="accent1" w:themeShade="BF"/>
        </w:rPr>
        <w:t xml:space="preserve">Child full name DOB. </w:t>
      </w:r>
    </w:p>
    <w:p w14:paraId="5AEF2C8B" w14:textId="7BC7C7EF" w:rsidR="005F2743" w:rsidRPr="009B486B" w:rsidRDefault="005F2743" w:rsidP="005F2743">
      <w:pPr>
        <w:rPr>
          <w:rFonts w:ascii="Century Gothic" w:hAnsi="Century Gothic"/>
          <w:b/>
          <w:bCs/>
        </w:rPr>
      </w:pPr>
      <w:r>
        <w:rPr>
          <w:rFonts w:ascii="Century Gothic" w:hAnsi="Century Gothic"/>
          <w:b/>
          <w:bCs/>
        </w:rPr>
        <w:t xml:space="preserve">I am writing due to the LA failure to request the required advice as part of the EHC needs assessment. </w:t>
      </w:r>
      <w:r w:rsidR="009B486B">
        <w:rPr>
          <w:rFonts w:ascii="Century Gothic" w:hAnsi="Century Gothic"/>
          <w:b/>
          <w:bCs/>
        </w:rPr>
        <w:t xml:space="preserve">The LA is required to seek out advice and information regarding </w:t>
      </w:r>
      <w:r w:rsidR="009B486B" w:rsidRPr="009B486B">
        <w:rPr>
          <w:rFonts w:ascii="Century Gothic" w:hAnsi="Century Gothic"/>
          <w:b/>
          <w:bCs/>
          <w:color w:val="B3186D" w:themeColor="accent1" w:themeShade="BF"/>
        </w:rPr>
        <w:t>Child’s name</w:t>
      </w:r>
      <w:r w:rsidR="009B486B">
        <w:rPr>
          <w:rFonts w:ascii="Century Gothic" w:hAnsi="Century Gothic"/>
          <w:b/>
          <w:bCs/>
          <w:color w:val="B3186D" w:themeColor="accent1" w:themeShade="BF"/>
        </w:rPr>
        <w:t xml:space="preserve"> </w:t>
      </w:r>
      <w:r w:rsidR="009B486B">
        <w:rPr>
          <w:rFonts w:ascii="Century Gothic" w:hAnsi="Century Gothic"/>
          <w:b/>
          <w:bCs/>
        </w:rPr>
        <w:t xml:space="preserve">special educational needs and recommendations for special educational provisions. This is set out in regulation 6 of the Special Educational needs and disability regulations 2014: </w:t>
      </w:r>
    </w:p>
    <w:p w14:paraId="1578EAF2" w14:textId="77777777" w:rsidR="009B486B" w:rsidRPr="009B486B" w:rsidRDefault="009B486B" w:rsidP="009B486B">
      <w:pPr>
        <w:rPr>
          <w:rFonts w:ascii="Century Gothic" w:hAnsi="Century Gothic"/>
          <w:b/>
          <w:bCs/>
        </w:rPr>
      </w:pPr>
      <w:r w:rsidRPr="009B486B">
        <w:rPr>
          <w:rFonts w:ascii="Century Gothic" w:hAnsi="Century Gothic"/>
          <w:b/>
          <w:bCs/>
        </w:rPr>
        <w:t>“Information and advice to be obtained of EHC needs assessments</w:t>
      </w:r>
    </w:p>
    <w:p w14:paraId="5ADA0E38" w14:textId="77777777" w:rsidR="009B486B" w:rsidRPr="009B486B" w:rsidRDefault="009B486B" w:rsidP="009B486B">
      <w:pPr>
        <w:rPr>
          <w:rFonts w:ascii="Century Gothic" w:hAnsi="Century Gothic"/>
          <w:b/>
          <w:bCs/>
        </w:rPr>
      </w:pPr>
      <w:r w:rsidRPr="009B486B">
        <w:rPr>
          <w:rFonts w:ascii="Century Gothic" w:hAnsi="Century Gothic"/>
          <w:b/>
          <w:bCs/>
        </w:rPr>
        <w:t>6.—(1) Where the local authority secures an EHC needs assessment for a child or young person, it must seek the following advice and information, on the needs of the child or young person, and what provision may be required to meet such needs and the outcomes that are intended to be achieved by the child or young person receiving that provision—</w:t>
      </w:r>
    </w:p>
    <w:p w14:paraId="7A605F0B" w14:textId="77777777" w:rsidR="009B486B" w:rsidRPr="009B486B" w:rsidRDefault="009B486B" w:rsidP="009B486B">
      <w:pPr>
        <w:rPr>
          <w:rFonts w:ascii="Century Gothic" w:hAnsi="Century Gothic"/>
          <w:b/>
          <w:bCs/>
        </w:rPr>
      </w:pPr>
      <w:r w:rsidRPr="009B486B">
        <w:rPr>
          <w:rFonts w:ascii="Century Gothic" w:hAnsi="Century Gothic"/>
          <w:b/>
          <w:bCs/>
        </w:rPr>
        <w:t>(a)</w:t>
      </w:r>
      <w:r w:rsidRPr="009B486B">
        <w:rPr>
          <w:rFonts w:ascii="Century Gothic" w:hAnsi="Century Gothic"/>
          <w:b/>
          <w:bCs/>
        </w:rPr>
        <w:tab/>
        <w:t xml:space="preserve">advice and information from the child’s parent or the young </w:t>
      </w:r>
      <w:proofErr w:type="gramStart"/>
      <w:r w:rsidRPr="009B486B">
        <w:rPr>
          <w:rFonts w:ascii="Century Gothic" w:hAnsi="Century Gothic"/>
          <w:b/>
          <w:bCs/>
        </w:rPr>
        <w:t>person;</w:t>
      </w:r>
      <w:proofErr w:type="gramEnd"/>
    </w:p>
    <w:p w14:paraId="5E2B2DFE" w14:textId="77777777" w:rsidR="009B486B" w:rsidRPr="009B486B" w:rsidRDefault="009B486B" w:rsidP="009B486B">
      <w:pPr>
        <w:rPr>
          <w:rFonts w:ascii="Century Gothic" w:hAnsi="Century Gothic"/>
          <w:b/>
          <w:bCs/>
        </w:rPr>
      </w:pPr>
      <w:r w:rsidRPr="009B486B">
        <w:rPr>
          <w:rFonts w:ascii="Century Gothic" w:hAnsi="Century Gothic"/>
          <w:b/>
          <w:bCs/>
        </w:rPr>
        <w:t>(b)</w:t>
      </w:r>
      <w:r w:rsidRPr="009B486B">
        <w:rPr>
          <w:rFonts w:ascii="Century Gothic" w:hAnsi="Century Gothic"/>
          <w:b/>
          <w:bCs/>
        </w:rPr>
        <w:tab/>
        <w:t xml:space="preserve">educational advice and information— </w:t>
      </w:r>
    </w:p>
    <w:p w14:paraId="399052FF" w14:textId="77777777" w:rsidR="009B486B" w:rsidRPr="009B486B" w:rsidRDefault="009B486B" w:rsidP="009B486B">
      <w:pPr>
        <w:rPr>
          <w:rFonts w:ascii="Century Gothic" w:hAnsi="Century Gothic"/>
          <w:b/>
          <w:bCs/>
        </w:rPr>
      </w:pPr>
      <w:r w:rsidRPr="009B486B">
        <w:rPr>
          <w:rFonts w:ascii="Century Gothic" w:hAnsi="Century Gothic"/>
          <w:b/>
          <w:bCs/>
        </w:rPr>
        <w:t>(</w:t>
      </w:r>
      <w:proofErr w:type="spellStart"/>
      <w:r w:rsidRPr="009B486B">
        <w:rPr>
          <w:rFonts w:ascii="Century Gothic" w:hAnsi="Century Gothic"/>
          <w:b/>
          <w:bCs/>
        </w:rPr>
        <w:t>i</w:t>
      </w:r>
      <w:proofErr w:type="spellEnd"/>
      <w:r w:rsidRPr="009B486B">
        <w:rPr>
          <w:rFonts w:ascii="Century Gothic" w:hAnsi="Century Gothic"/>
          <w:b/>
          <w:bCs/>
        </w:rPr>
        <w:t>)</w:t>
      </w:r>
      <w:r w:rsidRPr="009B486B">
        <w:rPr>
          <w:rFonts w:ascii="Century Gothic" w:hAnsi="Century Gothic"/>
          <w:b/>
          <w:bCs/>
        </w:rPr>
        <w:tab/>
        <w:t xml:space="preserve">from the head teacher or principal of the school or post-16 or other institution that the child or young person is attending, or </w:t>
      </w:r>
    </w:p>
    <w:p w14:paraId="70CCE5CA" w14:textId="77777777" w:rsidR="009B486B" w:rsidRPr="009B486B" w:rsidRDefault="009B486B" w:rsidP="009B486B">
      <w:pPr>
        <w:rPr>
          <w:rFonts w:ascii="Century Gothic" w:hAnsi="Century Gothic"/>
          <w:b/>
          <w:bCs/>
        </w:rPr>
      </w:pPr>
      <w:r w:rsidRPr="009B486B">
        <w:rPr>
          <w:rFonts w:ascii="Century Gothic" w:hAnsi="Century Gothic"/>
          <w:b/>
          <w:bCs/>
        </w:rPr>
        <w:t>(ii)</w:t>
      </w:r>
      <w:r w:rsidRPr="009B486B">
        <w:rPr>
          <w:rFonts w:ascii="Century Gothic" w:hAnsi="Century Gothic"/>
          <w:b/>
          <w:bCs/>
        </w:rPr>
        <w:tab/>
        <w:t>where this is not available, from a person who the local authority is satisfied has experience of teaching children or young people with special educational needs, or knowledge of the differing provision which may be called for in different cases to meet those needs, or</w:t>
      </w:r>
    </w:p>
    <w:p w14:paraId="7F985876" w14:textId="77777777" w:rsidR="009B486B" w:rsidRPr="009B486B" w:rsidRDefault="009B486B" w:rsidP="009B486B">
      <w:pPr>
        <w:rPr>
          <w:rFonts w:ascii="Century Gothic" w:hAnsi="Century Gothic"/>
          <w:b/>
          <w:bCs/>
        </w:rPr>
      </w:pPr>
      <w:r w:rsidRPr="009B486B">
        <w:rPr>
          <w:rFonts w:ascii="Century Gothic" w:hAnsi="Century Gothic"/>
          <w:b/>
          <w:bCs/>
        </w:rPr>
        <w:lastRenderedPageBreak/>
        <w:t>(iii)</w:t>
      </w:r>
      <w:r w:rsidRPr="009B486B">
        <w:rPr>
          <w:rFonts w:ascii="Century Gothic" w:hAnsi="Century Gothic"/>
          <w:b/>
          <w:bCs/>
        </w:rPr>
        <w:tab/>
        <w:t>if the child or young person is not currently attending a school or post-16 or other institution and advice cannot be obtained under sub-paragraph (ii), from a person responsible for educational provision for the child or young person, and</w:t>
      </w:r>
    </w:p>
    <w:p w14:paraId="12869E3B" w14:textId="77777777" w:rsidR="009B486B" w:rsidRPr="009B486B" w:rsidRDefault="009B486B" w:rsidP="009B486B">
      <w:pPr>
        <w:rPr>
          <w:rFonts w:ascii="Century Gothic" w:hAnsi="Century Gothic"/>
          <w:b/>
          <w:bCs/>
        </w:rPr>
      </w:pPr>
      <w:r w:rsidRPr="009B486B">
        <w:rPr>
          <w:rFonts w:ascii="Century Gothic" w:hAnsi="Century Gothic"/>
          <w:b/>
          <w:bCs/>
        </w:rPr>
        <w:t>(iv)</w:t>
      </w:r>
      <w:r w:rsidRPr="009B486B">
        <w:rPr>
          <w:rFonts w:ascii="Century Gothic" w:hAnsi="Century Gothic"/>
          <w:b/>
          <w:bCs/>
        </w:rPr>
        <w:tab/>
        <w:t xml:space="preserve">if any parent of the child or young person is a serving member of Her Majesty’s armed forces, also from the Secretary of State for </w:t>
      </w:r>
      <w:proofErr w:type="gramStart"/>
      <w:r w:rsidRPr="009B486B">
        <w:rPr>
          <w:rFonts w:ascii="Century Gothic" w:hAnsi="Century Gothic"/>
          <w:b/>
          <w:bCs/>
        </w:rPr>
        <w:t>Defence;</w:t>
      </w:r>
      <w:proofErr w:type="gramEnd"/>
    </w:p>
    <w:p w14:paraId="5170FE8C" w14:textId="77777777" w:rsidR="009B486B" w:rsidRPr="009B486B" w:rsidRDefault="009B486B" w:rsidP="009B486B">
      <w:pPr>
        <w:rPr>
          <w:rFonts w:ascii="Century Gothic" w:hAnsi="Century Gothic"/>
          <w:b/>
          <w:bCs/>
        </w:rPr>
      </w:pPr>
      <w:r w:rsidRPr="009B486B">
        <w:rPr>
          <w:rFonts w:ascii="Century Gothic" w:hAnsi="Century Gothic"/>
          <w:b/>
          <w:bCs/>
        </w:rPr>
        <w:t>(c)</w:t>
      </w:r>
      <w:r w:rsidRPr="009B486B">
        <w:rPr>
          <w:rFonts w:ascii="Century Gothic" w:hAnsi="Century Gothic"/>
          <w:b/>
          <w:bCs/>
        </w:rPr>
        <w:tab/>
        <w:t xml:space="preserve">medical advice and information from a health care professional identified by the responsible commissioning </w:t>
      </w:r>
      <w:proofErr w:type="gramStart"/>
      <w:r w:rsidRPr="009B486B">
        <w:rPr>
          <w:rFonts w:ascii="Century Gothic" w:hAnsi="Century Gothic"/>
          <w:b/>
          <w:bCs/>
        </w:rPr>
        <w:t>body;</w:t>
      </w:r>
      <w:proofErr w:type="gramEnd"/>
      <w:r w:rsidRPr="009B486B">
        <w:rPr>
          <w:rFonts w:ascii="Century Gothic" w:hAnsi="Century Gothic"/>
          <w:b/>
          <w:bCs/>
        </w:rPr>
        <w:t xml:space="preserve"> </w:t>
      </w:r>
    </w:p>
    <w:p w14:paraId="76E214C7" w14:textId="77777777" w:rsidR="009B486B" w:rsidRPr="009B486B" w:rsidRDefault="009B486B" w:rsidP="009B486B">
      <w:pPr>
        <w:rPr>
          <w:rFonts w:ascii="Century Gothic" w:hAnsi="Century Gothic"/>
          <w:b/>
          <w:bCs/>
        </w:rPr>
      </w:pPr>
      <w:r w:rsidRPr="009B486B">
        <w:rPr>
          <w:rFonts w:ascii="Century Gothic" w:hAnsi="Century Gothic"/>
          <w:b/>
          <w:bCs/>
        </w:rPr>
        <w:t>(d)</w:t>
      </w:r>
      <w:r w:rsidRPr="009B486B">
        <w:rPr>
          <w:rFonts w:ascii="Century Gothic" w:hAnsi="Century Gothic"/>
          <w:b/>
          <w:bCs/>
        </w:rPr>
        <w:tab/>
        <w:t xml:space="preserve">psychological advice and information from an educational </w:t>
      </w:r>
      <w:proofErr w:type="gramStart"/>
      <w:r w:rsidRPr="009B486B">
        <w:rPr>
          <w:rFonts w:ascii="Century Gothic" w:hAnsi="Century Gothic"/>
          <w:b/>
          <w:bCs/>
        </w:rPr>
        <w:t>psychologist;</w:t>
      </w:r>
      <w:proofErr w:type="gramEnd"/>
    </w:p>
    <w:p w14:paraId="5A4400EA" w14:textId="77777777" w:rsidR="009B486B" w:rsidRPr="009B486B" w:rsidRDefault="009B486B" w:rsidP="009B486B">
      <w:pPr>
        <w:rPr>
          <w:rFonts w:ascii="Century Gothic" w:hAnsi="Century Gothic"/>
          <w:b/>
          <w:bCs/>
        </w:rPr>
      </w:pPr>
      <w:r w:rsidRPr="009B486B">
        <w:rPr>
          <w:rFonts w:ascii="Century Gothic" w:hAnsi="Century Gothic"/>
          <w:b/>
          <w:bCs/>
        </w:rPr>
        <w:t>(e)</w:t>
      </w:r>
      <w:r w:rsidRPr="009B486B">
        <w:rPr>
          <w:rFonts w:ascii="Century Gothic" w:hAnsi="Century Gothic"/>
          <w:b/>
          <w:bCs/>
        </w:rPr>
        <w:tab/>
        <w:t xml:space="preserve">advice and information in relation to social </w:t>
      </w:r>
      <w:proofErr w:type="gramStart"/>
      <w:r w:rsidRPr="009B486B">
        <w:rPr>
          <w:rFonts w:ascii="Century Gothic" w:hAnsi="Century Gothic"/>
          <w:b/>
          <w:bCs/>
        </w:rPr>
        <w:t>care;</w:t>
      </w:r>
      <w:proofErr w:type="gramEnd"/>
      <w:r w:rsidRPr="009B486B">
        <w:rPr>
          <w:rFonts w:ascii="Century Gothic" w:hAnsi="Century Gothic"/>
          <w:b/>
          <w:bCs/>
        </w:rPr>
        <w:t xml:space="preserve"> </w:t>
      </w:r>
    </w:p>
    <w:p w14:paraId="7DE3FD20" w14:textId="77777777" w:rsidR="009B486B" w:rsidRPr="009B486B" w:rsidRDefault="009B486B" w:rsidP="009B486B">
      <w:pPr>
        <w:rPr>
          <w:rFonts w:ascii="Century Gothic" w:hAnsi="Century Gothic"/>
          <w:b/>
          <w:bCs/>
        </w:rPr>
      </w:pPr>
      <w:r w:rsidRPr="009B486B">
        <w:rPr>
          <w:rFonts w:ascii="Century Gothic" w:hAnsi="Century Gothic"/>
          <w:b/>
          <w:bCs/>
        </w:rPr>
        <w:t>(f)</w:t>
      </w:r>
      <w:r w:rsidRPr="009B486B">
        <w:rPr>
          <w:rFonts w:ascii="Century Gothic" w:hAnsi="Century Gothic"/>
          <w:b/>
          <w:bCs/>
        </w:rPr>
        <w:tab/>
        <w:t xml:space="preserve">advice and information from any other person the local authority thinks is </w:t>
      </w:r>
      <w:proofErr w:type="gramStart"/>
      <w:r w:rsidRPr="009B486B">
        <w:rPr>
          <w:rFonts w:ascii="Century Gothic" w:hAnsi="Century Gothic"/>
          <w:b/>
          <w:bCs/>
        </w:rPr>
        <w:t>appropriate;</w:t>
      </w:r>
      <w:proofErr w:type="gramEnd"/>
      <w:r w:rsidRPr="009B486B">
        <w:rPr>
          <w:rFonts w:ascii="Century Gothic" w:hAnsi="Century Gothic"/>
          <w:b/>
          <w:bCs/>
        </w:rPr>
        <w:t xml:space="preserve"> </w:t>
      </w:r>
    </w:p>
    <w:p w14:paraId="2E72B8F3" w14:textId="77777777" w:rsidR="009B486B" w:rsidRPr="009B486B" w:rsidRDefault="009B486B" w:rsidP="009B486B">
      <w:pPr>
        <w:rPr>
          <w:rFonts w:ascii="Century Gothic" w:hAnsi="Century Gothic"/>
          <w:b/>
          <w:bCs/>
        </w:rPr>
      </w:pPr>
      <w:r w:rsidRPr="009B486B">
        <w:rPr>
          <w:rFonts w:ascii="Century Gothic" w:hAnsi="Century Gothic"/>
          <w:b/>
          <w:bCs/>
        </w:rPr>
        <w:t>(g)</w:t>
      </w:r>
      <w:r w:rsidRPr="009B486B">
        <w:rPr>
          <w:rFonts w:ascii="Century Gothic" w:hAnsi="Century Gothic"/>
          <w:b/>
          <w:bCs/>
        </w:rPr>
        <w:tab/>
        <w:t>where the child or young person is in or beyond year 9, advice and information in relation to provision to assist the child or young person in preparation for adulthood and independent living; and</w:t>
      </w:r>
    </w:p>
    <w:p w14:paraId="424788BE" w14:textId="022E13BA" w:rsidR="005F2743" w:rsidRPr="009B486B" w:rsidRDefault="009B486B" w:rsidP="009B486B">
      <w:pPr>
        <w:rPr>
          <w:rFonts w:ascii="Century Gothic" w:hAnsi="Century Gothic"/>
          <w:b/>
          <w:bCs/>
        </w:rPr>
      </w:pPr>
      <w:r w:rsidRPr="009B486B">
        <w:rPr>
          <w:rFonts w:ascii="Century Gothic" w:hAnsi="Century Gothic"/>
          <w:b/>
          <w:bCs/>
        </w:rPr>
        <w:t>(h)</w:t>
      </w:r>
      <w:r w:rsidRPr="009B486B">
        <w:rPr>
          <w:rFonts w:ascii="Century Gothic" w:hAnsi="Century Gothic"/>
          <w:b/>
          <w:bCs/>
        </w:rPr>
        <w:tab/>
        <w:t>advice and information from any person the child’s parent or young person reasonably requests that the local authority seek advice from.”</w:t>
      </w:r>
    </w:p>
    <w:p w14:paraId="1ABBA5BA" w14:textId="62939C48" w:rsidR="005F2743" w:rsidRPr="008473D3" w:rsidRDefault="009B486B">
      <w:pPr>
        <w:rPr>
          <w:rFonts w:ascii="Century Gothic" w:hAnsi="Century Gothic"/>
          <w:b/>
          <w:bCs/>
          <w:color w:val="B3186D" w:themeColor="accent1" w:themeShade="BF"/>
        </w:rPr>
      </w:pPr>
      <w:r w:rsidRPr="009B486B">
        <w:rPr>
          <w:rFonts w:ascii="Century Gothic" w:hAnsi="Century Gothic"/>
          <w:b/>
          <w:bCs/>
        </w:rPr>
        <w:t xml:space="preserve">The LA have failed to seek out this advice due to the lack </w:t>
      </w:r>
      <w:r w:rsidRPr="009B486B">
        <w:rPr>
          <w:rFonts w:ascii="Century Gothic" w:hAnsi="Century Gothic"/>
          <w:b/>
          <w:bCs/>
          <w:color w:val="B3186D" w:themeColor="accent1" w:themeShade="BF"/>
        </w:rPr>
        <w:t>of insert missing advice for example OT, SLT, CAHMS etc</w:t>
      </w:r>
      <w:r>
        <w:rPr>
          <w:rFonts w:ascii="Century Gothic" w:hAnsi="Century Gothic"/>
          <w:b/>
          <w:bCs/>
          <w:color w:val="B3186D" w:themeColor="accent1" w:themeShade="BF"/>
        </w:rPr>
        <w:t>.</w:t>
      </w:r>
      <w:r>
        <w:rPr>
          <w:rFonts w:ascii="Century Gothic" w:hAnsi="Century Gothic"/>
          <w:b/>
          <w:bCs/>
          <w:color w:val="B3186D" w:themeColor="accent1" w:themeShade="BF"/>
        </w:rPr>
        <w:br/>
      </w:r>
      <w:r>
        <w:rPr>
          <w:rFonts w:ascii="Century Gothic" w:hAnsi="Century Gothic"/>
          <w:b/>
          <w:bCs/>
          <w:color w:val="B3186D" w:themeColor="accent1" w:themeShade="BF"/>
        </w:rPr>
        <w:br/>
      </w:r>
      <w:r w:rsidRPr="009B486B">
        <w:rPr>
          <w:rFonts w:ascii="Century Gothic" w:hAnsi="Century Gothic"/>
          <w:b/>
          <w:bCs/>
        </w:rPr>
        <w:t xml:space="preserve">I would like to remind the LA that not known to service is not sufficient advice to inform a EHC needs assessment. </w:t>
      </w:r>
      <w:r w:rsidR="008473D3">
        <w:rPr>
          <w:rFonts w:ascii="Century Gothic" w:hAnsi="Century Gothic"/>
          <w:b/>
          <w:bCs/>
        </w:rPr>
        <w:br/>
      </w:r>
      <w:r w:rsidR="008473D3">
        <w:rPr>
          <w:rFonts w:ascii="Century Gothic" w:hAnsi="Century Gothic"/>
          <w:b/>
          <w:bCs/>
        </w:rPr>
        <w:br/>
        <w:t xml:space="preserve">As the EHCP process is a time limited process I would appreciate a response to this letter with in the next 5 working days with a plan of how the remaining assessments will be accommodated. </w:t>
      </w:r>
      <w:r w:rsidR="008473D3">
        <w:rPr>
          <w:rFonts w:ascii="Century Gothic" w:hAnsi="Century Gothic"/>
          <w:b/>
          <w:bCs/>
        </w:rPr>
        <w:br/>
      </w:r>
      <w:r w:rsidR="008473D3">
        <w:rPr>
          <w:rFonts w:ascii="Century Gothic" w:hAnsi="Century Gothic"/>
          <w:b/>
          <w:bCs/>
        </w:rPr>
        <w:br/>
        <w:t>Yours sincerely,</w:t>
      </w:r>
      <w:r w:rsidR="008473D3">
        <w:rPr>
          <w:rFonts w:ascii="Century Gothic" w:hAnsi="Century Gothic"/>
          <w:b/>
          <w:bCs/>
        </w:rPr>
        <w:br/>
      </w:r>
      <w:r w:rsidR="008473D3">
        <w:rPr>
          <w:rFonts w:ascii="Century Gothic" w:hAnsi="Century Gothic"/>
          <w:b/>
          <w:bCs/>
          <w:color w:val="B3186D" w:themeColor="accent1" w:themeShade="BF"/>
        </w:rPr>
        <w:t>Your name.</w:t>
      </w:r>
    </w:p>
    <w:sectPr w:rsidR="005F2743" w:rsidRPr="008473D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13B0C" w14:textId="77777777" w:rsidR="00A737D8" w:rsidRDefault="00A737D8" w:rsidP="00A737D8">
      <w:pPr>
        <w:spacing w:after="0" w:line="240" w:lineRule="auto"/>
      </w:pPr>
      <w:r>
        <w:separator/>
      </w:r>
    </w:p>
  </w:endnote>
  <w:endnote w:type="continuationSeparator" w:id="0">
    <w:p w14:paraId="100545B1" w14:textId="77777777" w:rsidR="00A737D8" w:rsidRDefault="00A737D8" w:rsidP="00A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12F1" w14:textId="77777777" w:rsidR="00A737D8" w:rsidRDefault="00A737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0646" w14:textId="77777777" w:rsidR="00A737D8" w:rsidRDefault="00A737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36803" w14:textId="77777777" w:rsidR="00A737D8" w:rsidRDefault="00A737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0202D" w14:textId="77777777" w:rsidR="00A737D8" w:rsidRDefault="00A737D8" w:rsidP="00A737D8">
      <w:pPr>
        <w:spacing w:after="0" w:line="240" w:lineRule="auto"/>
      </w:pPr>
      <w:r>
        <w:separator/>
      </w:r>
    </w:p>
  </w:footnote>
  <w:footnote w:type="continuationSeparator" w:id="0">
    <w:p w14:paraId="4FD8374D" w14:textId="77777777" w:rsidR="00A737D8" w:rsidRDefault="00A737D8" w:rsidP="00A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0B7BD" w14:textId="77777777" w:rsidR="00A737D8" w:rsidRDefault="00A737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49FCB" w14:textId="15F1CEDF" w:rsidR="00A737D8" w:rsidRDefault="00A737D8">
    <w:pPr>
      <w:pStyle w:val="Header"/>
    </w:pPr>
    <w:r>
      <w:rPr>
        <w:noProof/>
      </w:rPr>
      <w:drawing>
        <wp:inline distT="0" distB="0" distL="0" distR="0" wp14:anchorId="7899FA54" wp14:editId="1B8C3ACC">
          <wp:extent cx="5714286" cy="1904762"/>
          <wp:effectExtent l="0" t="0" r="1270" b="635"/>
          <wp:docPr id="1691287688" name="Picture 2" descr="A group of people silhouette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287688" name="Picture 2" descr="A group of people silhouettes with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14286" cy="1904762"/>
                  </a:xfrm>
                  <a:prstGeom prst="rect">
                    <a:avLst/>
                  </a:prstGeom>
                  <a:ln>
                    <a:noFill/>
                  </a:ln>
                  <a:effectLst>
                    <a:softEdge rad="112500"/>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ADC23" w14:textId="77777777" w:rsidR="00A737D8" w:rsidRDefault="00A737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743"/>
    <w:rsid w:val="005804DD"/>
    <w:rsid w:val="005F2743"/>
    <w:rsid w:val="008473D3"/>
    <w:rsid w:val="009B486B"/>
    <w:rsid w:val="00A73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55B0D"/>
  <w15:chartTrackingRefBased/>
  <w15:docId w15:val="{4D586C7D-2F39-4206-8F1E-4B30FB093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7D8"/>
  </w:style>
  <w:style w:type="paragraph" w:styleId="Footer">
    <w:name w:val="footer"/>
    <w:basedOn w:val="Normal"/>
    <w:link w:val="FooterChar"/>
    <w:uiPriority w:val="99"/>
    <w:unhideWhenUsed/>
    <w:rsid w:val="00A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C</dc:creator>
  <cp:keywords/>
  <dc:description/>
  <cp:lastModifiedBy>Lyndsay  Critchlow</cp:lastModifiedBy>
  <cp:revision>2</cp:revision>
  <dcterms:created xsi:type="dcterms:W3CDTF">2024-02-12T16:16:00Z</dcterms:created>
  <dcterms:modified xsi:type="dcterms:W3CDTF">2025-03-26T08:20:00Z</dcterms:modified>
</cp:coreProperties>
</file>